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5741C" w14:textId="77777777" w:rsidR="00260B05" w:rsidRPr="00A5547B" w:rsidRDefault="005A151B" w:rsidP="00A5547B">
      <w:pPr>
        <w:jc w:val="center"/>
        <w:rPr>
          <w:b/>
          <w:sz w:val="36"/>
        </w:rPr>
      </w:pPr>
      <w:r w:rsidRPr="00A5547B">
        <w:rPr>
          <w:b/>
          <w:sz w:val="36"/>
        </w:rPr>
        <w:t>Resources-But We’ve Always Done It That Way</w:t>
      </w:r>
    </w:p>
    <w:p w14:paraId="2206C931" w14:textId="1F433BA7" w:rsidR="00B77771" w:rsidRDefault="003E177F" w:rsidP="00D50243">
      <w:pPr>
        <w:ind w:left="0" w:firstLine="0"/>
        <w:rPr>
          <w:b/>
          <w:bCs/>
          <w:sz w:val="28"/>
          <w:szCs w:val="28"/>
        </w:rPr>
      </w:pPr>
      <w:r w:rsidRPr="003E177F">
        <w:rPr>
          <w:b/>
          <w:bCs/>
          <w:sz w:val="28"/>
          <w:szCs w:val="28"/>
        </w:rPr>
        <w:t>Anaphylaxis</w:t>
      </w:r>
    </w:p>
    <w:p w14:paraId="71542D69" w14:textId="31C81D94" w:rsidR="003E177F" w:rsidRPr="003E177F" w:rsidRDefault="003E177F" w:rsidP="003E177F">
      <w:pPr>
        <w:ind w:left="720" w:hanging="720"/>
        <w:rPr>
          <w:rFonts w:ascii="Times New Roman" w:eastAsia="Times New Roman" w:hAnsi="Times New Roman" w:cs="Times New Roman"/>
          <w:lang w:eastAsia="zh-CN"/>
        </w:rPr>
      </w:pPr>
      <w:proofErr w:type="spellStart"/>
      <w:proofErr w:type="gramStart"/>
      <w:r w:rsidRPr="003E177F">
        <w:rPr>
          <w:rFonts w:ascii="Constantia" w:eastAsia="Times New Roman" w:hAnsi="Constantia" w:cs="Arial"/>
          <w:color w:val="000000"/>
          <w:shd w:val="clear" w:color="auto" w:fill="FFFFFF"/>
          <w:lang w:eastAsia="zh-CN"/>
        </w:rPr>
        <w:t>Cantrell,F</w:t>
      </w:r>
      <w:proofErr w:type="spellEnd"/>
      <w:r w:rsidRPr="003E177F">
        <w:rPr>
          <w:rFonts w:ascii="Constantia" w:eastAsia="Times New Roman" w:hAnsi="Constantia" w:cs="Arial"/>
          <w:color w:val="000000"/>
          <w:shd w:val="clear" w:color="auto" w:fill="FFFFFF"/>
          <w:lang w:eastAsia="zh-CN"/>
        </w:rPr>
        <w:t>.</w:t>
      </w:r>
      <w:proofErr w:type="gramEnd"/>
      <w:r w:rsidRPr="003E177F">
        <w:rPr>
          <w:rFonts w:ascii="Constantia" w:eastAsia="Times New Roman" w:hAnsi="Constantia" w:cs="Arial"/>
          <w:color w:val="000000"/>
          <w:shd w:val="clear" w:color="auto" w:fill="FFFFFF"/>
          <w:lang w:eastAsia="zh-CN"/>
        </w:rPr>
        <w:t xml:space="preserve"> et al. (2017) Epinephrine concentrations in </w:t>
      </w:r>
      <w:proofErr w:type="spellStart"/>
      <w:r w:rsidRPr="003E177F">
        <w:rPr>
          <w:rFonts w:ascii="Constantia" w:eastAsia="Times New Roman" w:hAnsi="Constantia" w:cs="Arial"/>
          <w:color w:val="000000"/>
          <w:shd w:val="clear" w:color="auto" w:fill="FFFFFF"/>
          <w:lang w:eastAsia="zh-CN"/>
        </w:rPr>
        <w:t>epipens</w:t>
      </w:r>
      <w:proofErr w:type="spellEnd"/>
      <w:r w:rsidRPr="003E177F">
        <w:rPr>
          <w:rFonts w:ascii="Constantia" w:eastAsia="Times New Roman" w:hAnsi="Constantia" w:cs="Arial"/>
          <w:color w:val="000000"/>
          <w:shd w:val="clear" w:color="auto" w:fill="FFFFFF"/>
          <w:lang w:eastAsia="zh-CN"/>
        </w:rPr>
        <w:t> after the expiration date. </w:t>
      </w:r>
      <w:r w:rsidRPr="003E177F">
        <w:rPr>
          <w:rFonts w:ascii="Constantia" w:eastAsia="Times New Roman" w:hAnsi="Constantia" w:cs="Arial"/>
          <w:i/>
          <w:iCs/>
          <w:color w:val="000000"/>
          <w:shd w:val="clear" w:color="auto" w:fill="FFFFFF"/>
          <w:lang w:eastAsia="zh-CN"/>
        </w:rPr>
        <w:t>Annals of Intern Medicine</w:t>
      </w:r>
      <w:r w:rsidRPr="003E177F">
        <w:rPr>
          <w:rFonts w:ascii="Constantia" w:eastAsia="Times New Roman" w:hAnsi="Constantia" w:cs="Arial"/>
          <w:color w:val="000000"/>
          <w:shd w:val="clear" w:color="auto" w:fill="FFFFFF"/>
          <w:lang w:eastAsia="zh-CN"/>
        </w:rPr>
        <w:t xml:space="preserve">. </w:t>
      </w:r>
      <w:proofErr w:type="gramStart"/>
      <w:r w:rsidRPr="003E177F">
        <w:rPr>
          <w:rFonts w:ascii="Constantia" w:eastAsia="Times New Roman" w:hAnsi="Constantia" w:cs="Arial"/>
          <w:color w:val="000000"/>
          <w:shd w:val="clear" w:color="auto" w:fill="FFFFFF"/>
          <w:lang w:eastAsia="zh-CN"/>
        </w:rPr>
        <w:t>2017;166:918</w:t>
      </w:r>
      <w:proofErr w:type="gramEnd"/>
      <w:r w:rsidRPr="003E177F">
        <w:rPr>
          <w:rFonts w:ascii="Constantia" w:eastAsia="Times New Roman" w:hAnsi="Constantia" w:cs="Arial"/>
          <w:color w:val="000000"/>
          <w:shd w:val="clear" w:color="auto" w:fill="FFFFFF"/>
          <w:lang w:eastAsia="zh-CN"/>
        </w:rPr>
        <w:t>–919. </w:t>
      </w:r>
      <w:proofErr w:type="spellStart"/>
      <w:r w:rsidRPr="003E177F">
        <w:rPr>
          <w:rFonts w:ascii="Constantia" w:eastAsia="Times New Roman" w:hAnsi="Constantia" w:cs="Arial"/>
          <w:color w:val="000000"/>
          <w:shd w:val="clear" w:color="auto" w:fill="FFFFFF"/>
          <w:lang w:eastAsia="zh-CN"/>
        </w:rPr>
        <w:t>Doi</w:t>
      </w:r>
      <w:proofErr w:type="spellEnd"/>
      <w:r w:rsidRPr="003E177F">
        <w:rPr>
          <w:rFonts w:ascii="Constantia" w:eastAsia="Times New Roman" w:hAnsi="Constantia" w:cs="Arial"/>
          <w:color w:val="000000"/>
          <w:shd w:val="clear" w:color="auto" w:fill="FFFFFF"/>
          <w:lang w:eastAsia="zh-CN"/>
        </w:rPr>
        <w:t>: 10.7326/l</w:t>
      </w:r>
      <w:r w:rsidRPr="003E177F">
        <w:rPr>
          <w:rFonts w:ascii="Constantia" w:eastAsia="Times New Roman" w:hAnsi="Constantia" w:cs="Times New Roman"/>
          <w:color w:val="FFFFFF"/>
          <w:shd w:val="clear" w:color="auto" w:fill="FFFFFF"/>
          <w:lang w:eastAsia="zh-CN"/>
        </w:rPr>
        <w:t>16</w:t>
      </w:r>
    </w:p>
    <w:p w14:paraId="5F5C7B95" w14:textId="77777777" w:rsidR="003E177F" w:rsidRDefault="003E177F" w:rsidP="005A151B">
      <w:pPr>
        <w:rPr>
          <w:b/>
          <w:color w:val="000000" w:themeColor="text1"/>
          <w:sz w:val="28"/>
        </w:rPr>
      </w:pPr>
    </w:p>
    <w:p w14:paraId="58B84DA0" w14:textId="75B5ED46" w:rsidR="009826A6" w:rsidRPr="009826A6" w:rsidRDefault="0089227D" w:rsidP="005A151B">
      <w:pPr>
        <w:rPr>
          <w:b/>
          <w:color w:val="000000" w:themeColor="text1"/>
          <w:sz w:val="28"/>
        </w:rPr>
      </w:pPr>
      <w:proofErr w:type="spellStart"/>
      <w:r>
        <w:rPr>
          <w:b/>
          <w:color w:val="000000" w:themeColor="text1"/>
          <w:sz w:val="28"/>
        </w:rPr>
        <w:t>Conjuctivitis</w:t>
      </w:r>
      <w:proofErr w:type="spellEnd"/>
    </w:p>
    <w:p w14:paraId="3186E29F" w14:textId="17415B00" w:rsidR="005A151B" w:rsidRPr="0089227D" w:rsidRDefault="005A151B" w:rsidP="005A151B">
      <w:pPr>
        <w:rPr>
          <w:color w:val="000000" w:themeColor="text1"/>
        </w:rPr>
      </w:pPr>
      <w:r w:rsidRPr="008D55E8">
        <w:rPr>
          <w:color w:val="000000" w:themeColor="text1"/>
        </w:rPr>
        <w:t xml:space="preserve">AAP: </w:t>
      </w:r>
      <w:r w:rsidRPr="008D55E8">
        <w:rPr>
          <w:i/>
          <w:iCs/>
          <w:color w:val="000000" w:themeColor="text1"/>
        </w:rPr>
        <w:t>Managing Infectious Diseases in Child Care and School</w:t>
      </w:r>
      <w:r w:rsidR="0089227D" w:rsidRPr="0089227D">
        <w:t xml:space="preserve"> </w:t>
      </w:r>
      <w:r w:rsidR="0089227D" w:rsidRPr="0089227D">
        <w:rPr>
          <w:iCs/>
          <w:color w:val="000000" w:themeColor="text1"/>
        </w:rPr>
        <w:t>https://www.aap.org/en-us/advocacy-and-policy/aap-health-initiatives/healthy-child-care/Documents/M3_Pinkeye.pdf</w:t>
      </w:r>
    </w:p>
    <w:p w14:paraId="03243695" w14:textId="77777777" w:rsidR="005A151B" w:rsidRDefault="005A151B" w:rsidP="00815A56">
      <w:pPr>
        <w:rPr>
          <w:color w:val="000000" w:themeColor="text1"/>
        </w:rPr>
      </w:pPr>
    </w:p>
    <w:p w14:paraId="1F4E9379" w14:textId="77777777" w:rsidR="009826A6" w:rsidRPr="009826A6" w:rsidRDefault="009826A6" w:rsidP="00815A56">
      <w:pPr>
        <w:rPr>
          <w:b/>
          <w:color w:val="000000" w:themeColor="text1"/>
          <w:sz w:val="28"/>
        </w:rPr>
      </w:pPr>
      <w:r w:rsidRPr="009826A6">
        <w:rPr>
          <w:b/>
          <w:color w:val="000000" w:themeColor="text1"/>
          <w:sz w:val="28"/>
        </w:rPr>
        <w:t>Pain in Children</w:t>
      </w:r>
    </w:p>
    <w:p w14:paraId="4FFD8D26" w14:textId="3701236B" w:rsidR="009A182A" w:rsidRDefault="005A151B" w:rsidP="00D16631">
      <w:pPr>
        <w:rPr>
          <w:color w:val="000000" w:themeColor="text1"/>
        </w:rPr>
      </w:pPr>
      <w:r w:rsidRPr="008D55E8">
        <w:rPr>
          <w:color w:val="000000" w:themeColor="text1"/>
        </w:rPr>
        <w:t xml:space="preserve">www.cincinnatichildrens.org/service/j/anderson-center/evidence-based-care/recommendations/topic-- distraction for painful   </w:t>
      </w:r>
    </w:p>
    <w:p w14:paraId="2CC1DC7F" w14:textId="77777777" w:rsidR="00D16631" w:rsidRPr="008D55E8" w:rsidRDefault="00D16631" w:rsidP="00D16631">
      <w:pPr>
        <w:rPr>
          <w:color w:val="000000" w:themeColor="text1"/>
        </w:rPr>
      </w:pPr>
    </w:p>
    <w:p w14:paraId="2434D193" w14:textId="77777777" w:rsidR="00D16631" w:rsidRPr="009826A6" w:rsidRDefault="00D16631" w:rsidP="00D16631">
      <w:pPr>
        <w:rPr>
          <w:rFonts w:eastAsiaTheme="majorEastAsia" w:cstheme="majorBidi"/>
          <w:b/>
          <w:color w:val="000000" w:themeColor="text1"/>
          <w:kern w:val="24"/>
          <w:position w:val="1"/>
          <w:sz w:val="28"/>
        </w:rPr>
      </w:pPr>
      <w:r w:rsidRPr="009826A6">
        <w:rPr>
          <w:rFonts w:eastAsiaTheme="majorEastAsia" w:cstheme="majorBidi"/>
          <w:b/>
          <w:color w:val="000000" w:themeColor="text1"/>
          <w:kern w:val="24"/>
          <w:position w:val="1"/>
          <w:sz w:val="28"/>
        </w:rPr>
        <w:t>Scoliosis</w:t>
      </w:r>
    </w:p>
    <w:p w14:paraId="1958BB4A" w14:textId="7C15B2E9" w:rsidR="00D16631" w:rsidRDefault="00D16631" w:rsidP="00D16631">
      <w:pPr>
        <w:rPr>
          <w:iCs/>
        </w:rPr>
      </w:pPr>
      <w:r w:rsidRPr="008D55E8">
        <w:t xml:space="preserve">Jakubowski, T. &amp; </w:t>
      </w:r>
      <w:proofErr w:type="spellStart"/>
      <w:r w:rsidRPr="008D55E8">
        <w:t>Alexy</w:t>
      </w:r>
      <w:proofErr w:type="spellEnd"/>
      <w:r w:rsidRPr="008D55E8">
        <w:t>, E. (2014).  Does school scoliosis screening make the grade</w:t>
      </w:r>
      <w:r w:rsidRPr="008D55E8">
        <w:rPr>
          <w:i/>
          <w:iCs/>
        </w:rPr>
        <w:t>?  NASN School Nurse.</w:t>
      </w:r>
      <w:r>
        <w:rPr>
          <w:i/>
          <w:iCs/>
        </w:rPr>
        <w:t xml:space="preserve"> (</w:t>
      </w:r>
      <w:r w:rsidRPr="008D55E8">
        <w:rPr>
          <w:i/>
          <w:iCs/>
        </w:rPr>
        <w:t>29</w:t>
      </w:r>
      <w:r>
        <w:rPr>
          <w:i/>
          <w:iCs/>
        </w:rPr>
        <w:t>)</w:t>
      </w:r>
      <w:r w:rsidRPr="00B74C57">
        <w:rPr>
          <w:iCs/>
        </w:rPr>
        <w:t>5, 258</w:t>
      </w:r>
      <w:r>
        <w:rPr>
          <w:iCs/>
        </w:rPr>
        <w:t>-</w:t>
      </w:r>
      <w:r w:rsidRPr="00B74C57">
        <w:rPr>
          <w:iCs/>
        </w:rPr>
        <w:t>265.</w:t>
      </w:r>
      <w:r>
        <w:rPr>
          <w:i/>
          <w:iCs/>
        </w:rPr>
        <w:t xml:space="preserve">  </w:t>
      </w:r>
      <w:r w:rsidRPr="009A182A">
        <w:rPr>
          <w:iCs/>
        </w:rPr>
        <w:t>doi.org/10.1177/1942602X14542131</w:t>
      </w:r>
    </w:p>
    <w:p w14:paraId="677D9B37" w14:textId="77777777" w:rsidR="00D16631" w:rsidRPr="003A03C7" w:rsidRDefault="00D16631" w:rsidP="00D16631">
      <w:pPr>
        <w:rPr>
          <w:i/>
          <w:iCs/>
        </w:rPr>
      </w:pPr>
    </w:p>
    <w:p w14:paraId="1A1DD981" w14:textId="0E22B276" w:rsidR="00943548" w:rsidRPr="007F570F" w:rsidRDefault="00943548" w:rsidP="007F570F">
      <w:pPr>
        <w:rPr>
          <w:rFonts w:eastAsia="Times New Roman" w:cs="Lucida Sans Unicode"/>
          <w:b/>
          <w:color w:val="000000" w:themeColor="text1"/>
          <w:sz w:val="28"/>
          <w:szCs w:val="20"/>
        </w:rPr>
      </w:pPr>
      <w:r w:rsidRPr="007F570F">
        <w:rPr>
          <w:rFonts w:eastAsia="Times New Roman" w:cs="Lucida Sans Unicode"/>
          <w:b/>
          <w:color w:val="000000" w:themeColor="text1"/>
          <w:sz w:val="28"/>
          <w:szCs w:val="20"/>
        </w:rPr>
        <w:t>Vision</w:t>
      </w:r>
    </w:p>
    <w:p w14:paraId="06A1DFEA" w14:textId="5726D08F" w:rsidR="002E4FFF" w:rsidRDefault="002E4FFF" w:rsidP="00D16631">
      <w:r w:rsidRPr="00B05B0F">
        <w:t>American Association for Pediatric Ophthalmology and Strabismus. (2014). AAPOS techniques for pediatric vision screening. Retrieved from http://www .aapos.org//client_data/files/2014/1075_aapostechniquesforpediatricvisionscreening.pdf</w:t>
      </w:r>
    </w:p>
    <w:p w14:paraId="08ABBEE5" w14:textId="636107E3" w:rsidR="002E4FFF" w:rsidRPr="00E57C3C" w:rsidRDefault="002E4FFF" w:rsidP="00D16631">
      <w:pPr>
        <w:rPr>
          <w:color w:val="30343F"/>
          <w:shd w:val="clear" w:color="auto" w:fill="FFFFFF"/>
        </w:rPr>
      </w:pPr>
      <w:bookmarkStart w:id="0" w:name="_GoBack"/>
      <w:bookmarkEnd w:id="0"/>
      <w:r w:rsidRPr="00E57C3C">
        <w:rPr>
          <w:color w:val="30343F"/>
          <w:shd w:val="clear" w:color="auto" w:fill="FFFFFF"/>
        </w:rPr>
        <w:t>Nottingham Chaplin, P.K., et al. (2018) An Eye on Vision: 20 Questions About Vision Screening and Eye Health.  NASN School Nurse, 33(2), 87-92. doi.org/10.1177/1942602X18754320</w:t>
      </w:r>
    </w:p>
    <w:p w14:paraId="7528CB8D" w14:textId="0DB13C3F" w:rsidR="002E4FFF" w:rsidRPr="00D16631" w:rsidRDefault="002E4FFF" w:rsidP="00D16631">
      <w:r w:rsidRPr="00B05B0F">
        <w:t xml:space="preserve">Nottingham Chaplin, P. K., </w:t>
      </w:r>
      <w:proofErr w:type="spellStart"/>
      <w:r w:rsidRPr="00B05B0F">
        <w:t>Baldonado</w:t>
      </w:r>
      <w:proofErr w:type="spellEnd"/>
      <w:r w:rsidRPr="00B05B0F">
        <w:t>, K., Hutchinson, A., &amp; Moore, B. (2015). </w:t>
      </w:r>
      <w:r w:rsidRPr="002E4FFF">
        <w:t xml:space="preserve">Vision and eye health: Moving into the digital age with instrument-based vision </w:t>
      </w:r>
      <w:proofErr w:type="gramStart"/>
      <w:r w:rsidRPr="002E4FFF">
        <w:t>screening</w:t>
      </w:r>
      <w:r w:rsidRPr="00B05B0F">
        <w:t> .</w:t>
      </w:r>
      <w:proofErr w:type="gramEnd"/>
      <w:r w:rsidRPr="00B05B0F">
        <w:rPr>
          <w:i/>
          <w:iCs/>
        </w:rPr>
        <w:t> NASN School Nurse, 30</w:t>
      </w:r>
      <w:r w:rsidRPr="00B05B0F">
        <w:t xml:space="preserve">(3), 154-60. </w:t>
      </w:r>
      <w:proofErr w:type="spellStart"/>
      <w:r w:rsidRPr="00B05B0F">
        <w:t>doi</w:t>
      </w:r>
      <w:proofErr w:type="spellEnd"/>
      <w:r w:rsidRPr="00B05B0F">
        <w:t>: 10.1177/1942602X15581054</w:t>
      </w:r>
    </w:p>
    <w:p w14:paraId="2923BDAF" w14:textId="2DB32A0D" w:rsidR="00943548" w:rsidRPr="007F570F" w:rsidRDefault="00943548" w:rsidP="00415FF8">
      <w:pPr>
        <w:rPr>
          <w:color w:val="000000" w:themeColor="text1"/>
          <w:shd w:val="clear" w:color="auto" w:fill="FFFFFF"/>
        </w:rPr>
      </w:pPr>
      <w:r w:rsidRPr="007F570F">
        <w:rPr>
          <w:color w:val="000000" w:themeColor="text1"/>
          <w:shd w:val="clear" w:color="auto" w:fill="FFFFFF"/>
        </w:rPr>
        <w:t>Nottingham Chaplin, P.K. &amp; Bradford, G.E. (2011). A historical review of distance vision screening eye charts: What to toss and what to keep, and what to replace. </w:t>
      </w:r>
      <w:r w:rsidRPr="007F570F">
        <w:rPr>
          <w:i/>
          <w:iCs/>
          <w:color w:val="000000" w:themeColor="text1"/>
          <w:shd w:val="clear" w:color="auto" w:fill="FFFFFF"/>
        </w:rPr>
        <w:t>NASN School Nurse, 26</w:t>
      </w:r>
      <w:r w:rsidRPr="007F570F">
        <w:rPr>
          <w:color w:val="000000" w:themeColor="text1"/>
          <w:shd w:val="clear" w:color="auto" w:fill="FFFFFF"/>
        </w:rPr>
        <w:t xml:space="preserve">(4), 221-222. </w:t>
      </w:r>
      <w:proofErr w:type="spellStart"/>
      <w:r w:rsidRPr="007F570F">
        <w:rPr>
          <w:color w:val="000000" w:themeColor="text1"/>
          <w:shd w:val="clear" w:color="auto" w:fill="FFFFFF"/>
        </w:rPr>
        <w:t>doi</w:t>
      </w:r>
      <w:proofErr w:type="spellEnd"/>
      <w:r w:rsidRPr="007F570F">
        <w:rPr>
          <w:color w:val="000000" w:themeColor="text1"/>
          <w:shd w:val="clear" w:color="auto" w:fill="FFFFFF"/>
        </w:rPr>
        <w:t>: 10.1177/1942602X11411094</w:t>
      </w:r>
    </w:p>
    <w:p w14:paraId="5EF16D07" w14:textId="6EF08500" w:rsidR="00B05B0F" w:rsidRPr="007F570F" w:rsidRDefault="00B05B0F" w:rsidP="00943548">
      <w:pPr>
        <w:rPr>
          <w:color w:val="000000" w:themeColor="text1"/>
        </w:rPr>
      </w:pPr>
    </w:p>
    <w:p w14:paraId="3E463FF3" w14:textId="77777777" w:rsidR="00D16631" w:rsidRPr="001F1D54" w:rsidRDefault="00D16631" w:rsidP="00D16631">
      <w:pPr>
        <w:rPr>
          <w:b/>
          <w:color w:val="000000" w:themeColor="text1"/>
          <w:sz w:val="28"/>
        </w:rPr>
      </w:pPr>
      <w:r w:rsidRPr="009826A6">
        <w:rPr>
          <w:b/>
          <w:color w:val="000000" w:themeColor="text1"/>
          <w:sz w:val="28"/>
        </w:rPr>
        <w:t>Wound Care</w:t>
      </w:r>
    </w:p>
    <w:p w14:paraId="28102E3D" w14:textId="77777777" w:rsidR="00D16631" w:rsidRDefault="00D16631" w:rsidP="00D16631">
      <w:pPr>
        <w:rPr>
          <w:color w:val="000000" w:themeColor="text1"/>
        </w:rPr>
      </w:pPr>
      <w:r w:rsidRPr="000277D3">
        <w:rPr>
          <w:color w:val="000000" w:themeColor="text1"/>
        </w:rPr>
        <w:t xml:space="preserve">Thomas, </w:t>
      </w:r>
      <w:r>
        <w:rPr>
          <w:color w:val="000000" w:themeColor="text1"/>
        </w:rPr>
        <w:t xml:space="preserve">G., (2009). </w:t>
      </w:r>
      <w:r w:rsidRPr="000277D3">
        <w:rPr>
          <w:color w:val="000000" w:themeColor="text1"/>
        </w:rPr>
        <w:t xml:space="preserve">Mechanisms of delayed wound healing by commonly used </w:t>
      </w:r>
    </w:p>
    <w:p w14:paraId="0FCA8F4A" w14:textId="77777777" w:rsidR="00D16631" w:rsidRDefault="00D16631" w:rsidP="00D16631">
      <w:pPr>
        <w:rPr>
          <w:color w:val="000000" w:themeColor="text1"/>
        </w:rPr>
      </w:pPr>
      <w:r w:rsidRPr="000277D3">
        <w:rPr>
          <w:color w:val="000000" w:themeColor="text1"/>
        </w:rPr>
        <w:t>antiseptics</w:t>
      </w:r>
      <w:r>
        <w:rPr>
          <w:color w:val="000000" w:themeColor="text1"/>
        </w:rPr>
        <w:t xml:space="preserve">. </w:t>
      </w:r>
      <w:r w:rsidRPr="000F2B64">
        <w:rPr>
          <w:i/>
          <w:color w:val="000000" w:themeColor="text1"/>
        </w:rPr>
        <w:t>The Journal of Trauma: Injury, Infection, and Critical Care</w:t>
      </w:r>
      <w:r>
        <w:rPr>
          <w:i/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2D41E5">
        <w:rPr>
          <w:i/>
          <w:color w:val="000000" w:themeColor="text1"/>
        </w:rPr>
        <w:t>(66)</w:t>
      </w:r>
      <w:r w:rsidRPr="000277D3">
        <w:rPr>
          <w:color w:val="000000" w:themeColor="text1"/>
        </w:rPr>
        <w:t>1</w:t>
      </w:r>
      <w:r>
        <w:rPr>
          <w:color w:val="000000" w:themeColor="text1"/>
        </w:rPr>
        <w:t xml:space="preserve">. </w:t>
      </w:r>
      <w:r w:rsidRPr="000277D3">
        <w:rPr>
          <w:color w:val="000000" w:themeColor="text1"/>
        </w:rPr>
        <w:t>82-91</w:t>
      </w:r>
      <w:r>
        <w:rPr>
          <w:color w:val="000000" w:themeColor="text1"/>
        </w:rPr>
        <w:t xml:space="preserve"> </w:t>
      </w:r>
      <w:proofErr w:type="spellStart"/>
      <w:r w:rsidRPr="000277D3">
        <w:rPr>
          <w:color w:val="000000" w:themeColor="text1"/>
        </w:rPr>
        <w:t>doi</w:t>
      </w:r>
      <w:proofErr w:type="spellEnd"/>
      <w:r w:rsidRPr="000277D3">
        <w:rPr>
          <w:color w:val="000000" w:themeColor="text1"/>
        </w:rPr>
        <w:t>: 10.1097/TA.0b013e31818b146d</w:t>
      </w:r>
    </w:p>
    <w:p w14:paraId="68E7B50A" w14:textId="77777777" w:rsidR="00D16631" w:rsidRDefault="00D16631" w:rsidP="00D16631">
      <w:pPr>
        <w:rPr>
          <w:color w:val="000000" w:themeColor="text1"/>
        </w:rPr>
      </w:pPr>
      <w:r w:rsidRPr="000F2B64">
        <w:rPr>
          <w:color w:val="000000" w:themeColor="text1"/>
        </w:rPr>
        <w:t>Gruber,</w:t>
      </w:r>
      <w:r>
        <w:rPr>
          <w:color w:val="000000" w:themeColor="text1"/>
        </w:rPr>
        <w:t xml:space="preserve"> P.,</w:t>
      </w:r>
      <w:r w:rsidRPr="000F2B64">
        <w:rPr>
          <w:color w:val="000000" w:themeColor="text1"/>
        </w:rPr>
        <w:t xml:space="preserve"> </w:t>
      </w:r>
      <w:proofErr w:type="spellStart"/>
      <w:r w:rsidRPr="000F2B64">
        <w:rPr>
          <w:color w:val="000000" w:themeColor="text1"/>
        </w:rPr>
        <w:t>Vistnes</w:t>
      </w:r>
      <w:proofErr w:type="spellEnd"/>
      <w:r w:rsidRPr="000F2B64">
        <w:rPr>
          <w:color w:val="000000" w:themeColor="text1"/>
        </w:rPr>
        <w:t>,</w:t>
      </w:r>
      <w:r>
        <w:rPr>
          <w:color w:val="000000" w:themeColor="text1"/>
        </w:rPr>
        <w:t xml:space="preserve"> L.</w:t>
      </w:r>
      <w:r w:rsidRPr="000F2B64">
        <w:rPr>
          <w:color w:val="000000" w:themeColor="text1"/>
        </w:rPr>
        <w:t xml:space="preserve"> &amp; Pardoe</w:t>
      </w:r>
      <w:r>
        <w:rPr>
          <w:color w:val="000000" w:themeColor="text1"/>
        </w:rPr>
        <w:t>, R.</w:t>
      </w:r>
      <w:r w:rsidRPr="000F2B64">
        <w:rPr>
          <w:color w:val="000000" w:themeColor="text1"/>
        </w:rPr>
        <w:t xml:space="preserve"> (1975). The effect of commonly used antiseptics on wound healing. </w:t>
      </w:r>
      <w:r w:rsidRPr="000F2B64">
        <w:rPr>
          <w:i/>
          <w:color w:val="000000" w:themeColor="text1"/>
        </w:rPr>
        <w:t>Plastic and Reconstructive Surgery. (55)</w:t>
      </w:r>
      <w:r>
        <w:rPr>
          <w:color w:val="000000" w:themeColor="text1"/>
        </w:rPr>
        <w:t>4,</w:t>
      </w:r>
      <w:r w:rsidRPr="000F2B64">
        <w:rPr>
          <w:color w:val="000000" w:themeColor="text1"/>
        </w:rPr>
        <w:t xml:space="preserve"> 472-6. </w:t>
      </w:r>
      <w:proofErr w:type="spellStart"/>
      <w:r>
        <w:rPr>
          <w:color w:val="000000" w:themeColor="text1"/>
        </w:rPr>
        <w:t>doi</w:t>
      </w:r>
      <w:proofErr w:type="spellEnd"/>
      <w:r>
        <w:rPr>
          <w:color w:val="000000" w:themeColor="text1"/>
        </w:rPr>
        <w:t xml:space="preserve">: </w:t>
      </w:r>
      <w:r w:rsidRPr="000F2B64">
        <w:rPr>
          <w:color w:val="000000" w:themeColor="text1"/>
        </w:rPr>
        <w:t>10.1097/00006534-197555040-00013.</w:t>
      </w:r>
    </w:p>
    <w:p w14:paraId="6E3EF158" w14:textId="5B65EF16" w:rsidR="002E4FFF" w:rsidRPr="002D7965" w:rsidRDefault="00D16631" w:rsidP="002D7965">
      <w:pPr>
        <w:rPr>
          <w:color w:val="000000" w:themeColor="text1"/>
        </w:rPr>
      </w:pPr>
      <w:proofErr w:type="spellStart"/>
      <w:r w:rsidRPr="00F43C6A">
        <w:rPr>
          <w:color w:val="000000" w:themeColor="text1"/>
        </w:rPr>
        <w:t>Muirhead</w:t>
      </w:r>
      <w:proofErr w:type="spellEnd"/>
      <w:r w:rsidRPr="00F43C6A">
        <w:rPr>
          <w:color w:val="000000" w:themeColor="text1"/>
        </w:rPr>
        <w:t>, Kate, "Antibacterial Ointments Versus Petrolatum-Based Ointments in</w:t>
      </w:r>
      <w:r>
        <w:rPr>
          <w:color w:val="000000" w:themeColor="text1"/>
        </w:rPr>
        <w:t xml:space="preserve"> </w:t>
      </w:r>
      <w:r w:rsidRPr="00F43C6A">
        <w:rPr>
          <w:color w:val="000000" w:themeColor="text1"/>
        </w:rPr>
        <w:t>Clean Wounds for Wound Healing" (2012). School</w:t>
      </w:r>
      <w:r>
        <w:rPr>
          <w:color w:val="000000" w:themeColor="text1"/>
        </w:rPr>
        <w:t xml:space="preserve"> </w:t>
      </w:r>
      <w:r w:rsidRPr="00F43C6A">
        <w:rPr>
          <w:color w:val="000000" w:themeColor="text1"/>
        </w:rPr>
        <w:t>of Physician Assistant Studies. Paper 289</w:t>
      </w:r>
      <w:r>
        <w:rPr>
          <w:color w:val="000000" w:themeColor="text1"/>
        </w:rPr>
        <w:t xml:space="preserve">Muirhead, K. (2012). </w:t>
      </w:r>
      <w:r w:rsidRPr="00F43C6A">
        <w:rPr>
          <w:color w:val="000000" w:themeColor="text1"/>
        </w:rPr>
        <w:t>https://commons.pacificu.edu/cgi/viewcontent.cgi?article=1288&amp;context=pa</w:t>
      </w:r>
    </w:p>
    <w:sectPr w:rsidR="002E4FFF" w:rsidRPr="002D7965" w:rsidSect="003E177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B5C9B"/>
    <w:multiLevelType w:val="hybridMultilevel"/>
    <w:tmpl w:val="EC2299EE"/>
    <w:lvl w:ilvl="0" w:tplc="A7D87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8F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9E4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D43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48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69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AE3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25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C1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1B"/>
    <w:rsid w:val="00022672"/>
    <w:rsid w:val="000277D3"/>
    <w:rsid w:val="000F2B64"/>
    <w:rsid w:val="00103E81"/>
    <w:rsid w:val="00123A03"/>
    <w:rsid w:val="00152F0D"/>
    <w:rsid w:val="00186C68"/>
    <w:rsid w:val="001F1D54"/>
    <w:rsid w:val="00260B05"/>
    <w:rsid w:val="002D41E5"/>
    <w:rsid w:val="002D7965"/>
    <w:rsid w:val="002E4FFF"/>
    <w:rsid w:val="002F16E7"/>
    <w:rsid w:val="003A03C7"/>
    <w:rsid w:val="003E177F"/>
    <w:rsid w:val="00415FF8"/>
    <w:rsid w:val="00450F1F"/>
    <w:rsid w:val="005A151B"/>
    <w:rsid w:val="005B003F"/>
    <w:rsid w:val="005C1CF1"/>
    <w:rsid w:val="006F24BA"/>
    <w:rsid w:val="007F570F"/>
    <w:rsid w:val="00815A56"/>
    <w:rsid w:val="0089227D"/>
    <w:rsid w:val="008A2A04"/>
    <w:rsid w:val="008D55E8"/>
    <w:rsid w:val="00943548"/>
    <w:rsid w:val="009826A6"/>
    <w:rsid w:val="009A182A"/>
    <w:rsid w:val="009F3E29"/>
    <w:rsid w:val="00A5547B"/>
    <w:rsid w:val="00A64E15"/>
    <w:rsid w:val="00AB00BB"/>
    <w:rsid w:val="00B05B0F"/>
    <w:rsid w:val="00B12E83"/>
    <w:rsid w:val="00B74C57"/>
    <w:rsid w:val="00B77771"/>
    <w:rsid w:val="00BA75A7"/>
    <w:rsid w:val="00C07ADC"/>
    <w:rsid w:val="00D16631"/>
    <w:rsid w:val="00D42EE8"/>
    <w:rsid w:val="00D50243"/>
    <w:rsid w:val="00DA3A81"/>
    <w:rsid w:val="00DC7B7F"/>
    <w:rsid w:val="00E57C3C"/>
    <w:rsid w:val="00F43C6A"/>
    <w:rsid w:val="00F837AF"/>
    <w:rsid w:val="00FB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E4AD48"/>
  <w14:defaultImageDpi w14:val="300"/>
  <w15:docId w15:val="{1B6CE00A-CBC9-4323-B93B-C21639EC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ind w:left="432" w:hanging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2E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C1CF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C1CF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5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15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64E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5A5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C1CF1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C1CF1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5C1CF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12E8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ighwire-citation-author">
    <w:name w:val="highwire-citation-author"/>
    <w:basedOn w:val="DefaultParagraphFont"/>
    <w:rsid w:val="00415FF8"/>
  </w:style>
  <w:style w:type="character" w:customStyle="1" w:styleId="nlm-surname">
    <w:name w:val="nlm-surname"/>
    <w:basedOn w:val="DefaultParagraphFont"/>
    <w:rsid w:val="00415FF8"/>
  </w:style>
  <w:style w:type="character" w:customStyle="1" w:styleId="highwire-cite-metadata-journal">
    <w:name w:val="highwire-cite-metadata-journal"/>
    <w:basedOn w:val="DefaultParagraphFont"/>
    <w:rsid w:val="00415FF8"/>
  </w:style>
  <w:style w:type="character" w:customStyle="1" w:styleId="highwire-cite-metadata-year">
    <w:name w:val="highwire-cite-metadata-year"/>
    <w:basedOn w:val="DefaultParagraphFont"/>
    <w:rsid w:val="00415FF8"/>
  </w:style>
  <w:style w:type="character" w:customStyle="1" w:styleId="highwire-cite-metadata-volume">
    <w:name w:val="highwire-cite-metadata-volume"/>
    <w:basedOn w:val="DefaultParagraphFont"/>
    <w:rsid w:val="00415FF8"/>
  </w:style>
  <w:style w:type="character" w:customStyle="1" w:styleId="highwire-cite-metadata-pages">
    <w:name w:val="highwire-cite-metadata-pages"/>
    <w:basedOn w:val="DefaultParagraphFont"/>
    <w:rsid w:val="00415FF8"/>
  </w:style>
  <w:style w:type="paragraph" w:customStyle="1" w:styleId="p">
    <w:name w:val="p"/>
    <w:basedOn w:val="Normal"/>
    <w:rsid w:val="00DC7B7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05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6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1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9F179-875A-414A-ABFD-3C3DCC75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Pontius</dc:creator>
  <cp:keywords/>
  <dc:description/>
  <cp:lastModifiedBy>deborah pontius</cp:lastModifiedBy>
  <cp:revision>4</cp:revision>
  <cp:lastPrinted>2018-10-08T15:44:00Z</cp:lastPrinted>
  <dcterms:created xsi:type="dcterms:W3CDTF">2018-11-07T16:49:00Z</dcterms:created>
  <dcterms:modified xsi:type="dcterms:W3CDTF">2018-11-18T02:32:00Z</dcterms:modified>
</cp:coreProperties>
</file>